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Nimbus Sans" w:hAnsi="Nimbus Sans"/>
          <w:sz w:val="22"/>
          <w:szCs w:val="22"/>
        </w:rPr>
      </w:pPr>
      <w:r>
        <w:rPr>
          <w:rFonts w:ascii="Nimbus Sans" w:hAnsi="Nimbus Sans"/>
          <w:sz w:val="22"/>
          <w:szCs w:val="22"/>
        </w:rPr>
        <w:t>Lic. Iván Boris Bach</w:t>
      </w:r>
    </w:p>
    <w:p>
      <w:pPr>
        <w:pStyle w:val="Normal"/>
        <w:bidi w:val="0"/>
        <w:jc w:val="start"/>
        <w:rPr>
          <w:rFonts w:ascii="Nimbus Sans" w:hAnsi="Nimbus Sans"/>
          <w:sz w:val="22"/>
          <w:szCs w:val="22"/>
        </w:rPr>
      </w:pPr>
      <w:r>
        <w:rPr>
          <w:rFonts w:ascii="Nimbus Sans" w:hAnsi="Nimbus Sans"/>
          <w:sz w:val="22"/>
          <w:szCs w:val="22"/>
        </w:rPr>
      </w:r>
    </w:p>
    <w:p>
      <w:pPr>
        <w:pStyle w:val="Predefinito"/>
        <w:spacing w:lineRule="auto" w:line="360"/>
        <w:ind w:end="0"/>
        <w:jc w:val="both"/>
        <w:rPr>
          <w:rFonts w:ascii="Nimbus Sans" w:hAnsi="Nimbus Sans" w:eastAsia="DejaVu Serif" w:cs="DejaVu Serif"/>
          <w:b w:val="false"/>
          <w:bCs w:val="false"/>
          <w:color w:val="000000"/>
          <w:sz w:val="22"/>
          <w:szCs w:val="22"/>
          <w:lang w:val="es-AR" w:bidi="ar-SA"/>
        </w:rPr>
      </w:pP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  <w:t xml:space="preserve">Licenciado en Ciencias Políticas y Gobierno. Departamento de Planificación y Políticas Públicas – Universidad Nacional de-Lanús 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/>
          <w:sz w:val="22"/>
          <w:szCs w:val="22"/>
        </w:rPr>
      </w:pPr>
      <w:r>
        <w:rPr>
          <w:rFonts w:ascii="Nimbus Sans" w:hAnsi="Nimbus Sans"/>
          <w:sz w:val="22"/>
          <w:szCs w:val="22"/>
        </w:rPr>
        <w:t>Especializando en Economía Social y gestión de entidades sin fines de Lucro. Departamento de Desarrollo Productivo y Tecnológico - Universidad Nacional de Lanús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 w:eastAsia="DejaVu Serif" w:cs="DejaVu Serif"/>
          <w:b w:val="false"/>
          <w:bCs w:val="false"/>
          <w:color w:val="000000"/>
          <w:sz w:val="22"/>
          <w:szCs w:val="22"/>
          <w:lang w:val="es-AR" w:bidi="ar-SA"/>
        </w:rPr>
      </w:pP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  <w:t>Especializando en Pensamiento Nacional y Latinoamericano del Siglo XX.  Departamento de Planificación y Políticas Públicas – Universidad Nacional de Lanús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 w:eastAsia="DejaVu Serif" w:cs="DejaVu Serif"/>
          <w:b w:val="false"/>
          <w:bCs w:val="false"/>
          <w:color w:val="000000"/>
          <w:sz w:val="22"/>
          <w:szCs w:val="22"/>
          <w:lang w:val="es-AR" w:bidi="ar-SA"/>
        </w:rPr>
      </w:pP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  <w:t xml:space="preserve">Actualmente docente ayudate en la Materia de Teoría Política “Libertad, Democracia y Derechos Humanos en la Teoría Política” (Cátedra Raus) en la carrera de Licenciatura en Justicia y Derechos Humanos - Universidad Nacional de Lanús. Docente ayudate en la Materia de Politíca Latinoamericana (Cátedra Raus) en la carrera de Licenciatura en </w:t>
      </w:r>
      <w:r>
        <w:rPr>
          <w:rFonts w:eastAsia="DejaVu Serif" w:cs="DejaVu Serif" w:ascii="Nimbus Sans" w:hAnsi="Nimbus Sans"/>
          <w:b w:val="false"/>
          <w:bCs w:val="false"/>
          <w:color w:val="000000"/>
          <w:kern w:val="2"/>
          <w:sz w:val="22"/>
          <w:szCs w:val="22"/>
          <w:lang w:val="es-AR" w:eastAsia="zh-CN" w:bidi="ar-SA"/>
        </w:rPr>
        <w:t>Ciencias Políticas y Gobierno -</w:t>
      </w: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  <w:t xml:space="preserve"> Universidad Nacional de Lanús. Coordinador académico de la Maestría en Políticas Públicas y Gobierno - Universidad Nacional de Lanús.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 w:eastAsia="DejaVu Serif" w:cs="DejaVu Serif"/>
          <w:b w:val="false"/>
          <w:bCs w:val="false"/>
          <w:color w:val="000000"/>
          <w:sz w:val="22"/>
          <w:szCs w:val="22"/>
          <w:lang w:val="es-AR" w:bidi="ar-SA"/>
        </w:rPr>
      </w:pP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</w:r>
    </w:p>
    <w:p>
      <w:pPr>
        <w:pStyle w:val="Predefinito"/>
        <w:spacing w:lineRule="auto" w:line="360"/>
        <w:ind w:end="0"/>
        <w:jc w:val="both"/>
        <w:rPr>
          <w:rFonts w:ascii="Nimbus Sans" w:hAnsi="Nimbus Sans" w:eastAsia="DejaVu Serif" w:cs="DejaVu Serif"/>
          <w:b w:val="false"/>
          <w:bCs w:val="false"/>
          <w:color w:val="000000"/>
          <w:sz w:val="22"/>
          <w:szCs w:val="22"/>
          <w:lang w:val="es-AR" w:bidi="ar-SA"/>
        </w:rPr>
      </w:pP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  <w:t>Autor de: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 w:eastAsia="DejaVu Serif" w:cs="DejaVu Serif"/>
          <w:b w:val="false"/>
          <w:bCs w:val="false"/>
          <w:color w:val="000000"/>
          <w:sz w:val="22"/>
          <w:szCs w:val="22"/>
          <w:lang w:val="es-AR" w:bidi="ar-SA"/>
        </w:rPr>
      </w:pPr>
      <w:r>
        <w:rPr>
          <w:rFonts w:eastAsia="DejaVu Serif" w:cs="DejaVu Serif" w:ascii="Nimbus Sans" w:hAnsi="Nimbus Sans"/>
          <w:b/>
          <w:bCs/>
          <w:i/>
          <w:iCs/>
          <w:color w:val="000000"/>
          <w:sz w:val="22"/>
          <w:szCs w:val="22"/>
          <w:lang w:val="es-AR" w:bidi="ar-SA"/>
        </w:rPr>
        <w:t xml:space="preserve">- Comunicación y Desarrollo - Los Medios masivos de comunicación, la construcción de Opinión pública y sentidos comunes y la implicancia en la implementación de Planes de Desarrollo” </w:t>
      </w:r>
      <w:r>
        <w:rPr>
          <w:rFonts w:eastAsia="DejaVu Serif" w:cs="DejaVu Serif" w:ascii="Nimbus Sans" w:hAnsi="Nimbus Sans"/>
          <w:b w:val="false"/>
          <w:bCs w:val="false"/>
          <w:color w:val="000000"/>
          <w:sz w:val="22"/>
          <w:szCs w:val="22"/>
          <w:lang w:val="es-AR" w:bidi="ar-SA"/>
        </w:rPr>
        <w:t>-CEPRIDA - Centro de Estudios para la Integración y el Desarrollo Regional Argentino. UNDAV- 18/06/2021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/>
          <w:sz w:val="22"/>
          <w:szCs w:val="22"/>
        </w:rPr>
      </w:pPr>
      <w:r>
        <w:rPr>
          <w:rFonts w:ascii="Nimbus Sans" w:hAnsi="Nimbus Sans"/>
          <w:b w:val="false"/>
          <w:bCs w:val="false"/>
          <w:i/>
          <w:iCs/>
          <w:sz w:val="22"/>
          <w:szCs w:val="22"/>
        </w:rPr>
        <w:t xml:space="preserve">- </w:t>
      </w:r>
      <w:r>
        <w:rPr>
          <w:rFonts w:ascii="Nimbus Sans" w:hAnsi="Nimbus Sans"/>
          <w:b/>
          <w:bCs/>
          <w:i/>
          <w:iCs/>
          <w:sz w:val="22"/>
          <w:szCs w:val="22"/>
        </w:rPr>
        <w:t xml:space="preserve">“Descolonización cultural o reivindicación de nuestras raíces” </w:t>
      </w:r>
      <w:r>
        <w:rPr>
          <w:rFonts w:ascii="Nimbus Sans" w:hAnsi="Nimbus Sans"/>
          <w:sz w:val="22"/>
          <w:szCs w:val="22"/>
        </w:rPr>
        <w:t>-Centro de Estudios del Desarrollo Miguel d’Escoto Brockmann (UNAN-Managua) - “SEMANARIO: Ideas y debates” N.º 60 – 17/08/2021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/>
          <w:sz w:val="22"/>
          <w:szCs w:val="22"/>
        </w:rPr>
      </w:pPr>
      <w:r>
        <w:rPr>
          <w:rFonts w:ascii="Nimbus Sans" w:hAnsi="Nimbus Sans"/>
          <w:sz w:val="22"/>
          <w:szCs w:val="22"/>
        </w:rPr>
        <w:t xml:space="preserve">- Prefacio al libro del antrópologo y filósofo italiano Mario Raso: </w:t>
      </w:r>
      <w:r>
        <w:rPr>
          <w:rFonts w:ascii="Nimbus Sans" w:hAnsi="Nimbus Sans"/>
          <w:b/>
          <w:bCs/>
          <w:i/>
          <w:iCs/>
          <w:sz w:val="22"/>
          <w:szCs w:val="22"/>
        </w:rPr>
        <w:t xml:space="preserve">“Los motines en Reggio Calabria de 1970-71” </w:t>
      </w:r>
      <w:r>
        <w:rPr>
          <w:rFonts w:ascii="Nimbus Sans" w:hAnsi="Nimbus Sans"/>
          <w:b w:val="false"/>
          <w:bCs w:val="false"/>
          <w:i w:val="false"/>
          <w:iCs w:val="false"/>
          <w:sz w:val="22"/>
          <w:szCs w:val="22"/>
        </w:rPr>
        <w:t xml:space="preserve">ISBN 979-12-5497-202-1 </w:t>
      </w:r>
      <w:r>
        <w:rPr>
          <w:rFonts w:ascii="Nimbus Sans" w:hAnsi="Nimbus Sans"/>
          <w:b w:val="false"/>
          <w:bCs w:val="false"/>
          <w:i/>
          <w:iCs/>
          <w:sz w:val="22"/>
          <w:szCs w:val="22"/>
        </w:rPr>
        <w:t>Edizioni WE di Nicola Bergamaschi –</w:t>
      </w:r>
      <w:r>
        <w:rPr>
          <w:rFonts w:ascii="Nimbus Sans" w:hAnsi="Nimbus Sans"/>
          <w:b w:val="false"/>
          <w:bCs w:val="false"/>
          <w:i w:val="false"/>
          <w:iCs w:val="false"/>
          <w:sz w:val="22"/>
          <w:szCs w:val="22"/>
        </w:rPr>
        <w:t xml:space="preserve"> 2025</w:t>
      </w:r>
    </w:p>
    <w:p>
      <w:pPr>
        <w:pStyle w:val="Predefinito"/>
        <w:spacing w:lineRule="auto" w:line="360"/>
        <w:ind w:end="0"/>
        <w:jc w:val="both"/>
        <w:rPr>
          <w:rFonts w:ascii="Nimbus Sans" w:hAnsi="Nimbus Sans"/>
          <w:sz w:val="22"/>
          <w:szCs w:val="22"/>
        </w:rPr>
      </w:pPr>
      <w:r>
        <w:rPr>
          <w:rFonts w:ascii="Nimbus Sans" w:hAnsi="Nimbus Sans"/>
          <w:b w:val="false"/>
          <w:bCs w:val="false"/>
          <w:i w:val="false"/>
          <w:iCs w:val="false"/>
          <w:sz w:val="22"/>
          <w:szCs w:val="22"/>
        </w:rPr>
        <w:t xml:space="preserve">- </w:t>
      </w:r>
      <w:r>
        <w:rPr>
          <w:rFonts w:ascii="Nimbus Sans" w:hAnsi="Nimbus Sans"/>
          <w:b/>
          <w:bCs/>
          <w:i w:val="false"/>
          <w:iCs w:val="false"/>
          <w:sz w:val="22"/>
          <w:szCs w:val="22"/>
        </w:rPr>
        <w:t>“</w:t>
      </w:r>
      <w:r>
        <w:rPr>
          <w:rFonts w:ascii="Nimbus Sans" w:hAnsi="Nimbus Sans"/>
          <w:b/>
          <w:bCs/>
          <w:i w:val="false"/>
          <w:iCs w:val="false"/>
          <w:sz w:val="22"/>
          <w:szCs w:val="22"/>
        </w:rPr>
        <w:t>Elecciones en Argentina: teniendo en cuenta el apoyo ecónomico del gobierno y del tesoro de EEUU, asi como de la banca JP Morgan ¿Cuales son los escenarios posibles del gobierno del presidente Milei al corto plazo”</w:t>
      </w:r>
      <w:r>
        <w:rPr>
          <w:rFonts w:ascii="Nimbus Sans" w:hAnsi="Nimbus Sans"/>
          <w:b w:val="false"/>
          <w:bCs w:val="false"/>
          <w:i w:val="false"/>
          <w:iCs w:val="false"/>
          <w:sz w:val="22"/>
          <w:szCs w:val="22"/>
        </w:rPr>
        <w:t xml:space="preserve"> – Periodico web “L’Italiano Press” 28/10 2025</w:t>
      </w:r>
    </w:p>
    <w:p>
      <w:pPr>
        <w:pStyle w:val="Predefinito"/>
        <w:spacing w:lineRule="auto" w:line="360"/>
        <w:ind w:end="0"/>
        <w:jc w:val="both"/>
        <w:rPr/>
      </w:pPr>
      <w:r>
        <w:rPr/>
      </w:r>
    </w:p>
    <w:p>
      <w:pPr>
        <w:pStyle w:val="Predefinito"/>
        <w:spacing w:lineRule="auto" w:line="360"/>
        <w:ind w:end="0"/>
        <w:jc w:val="both"/>
        <w:rPr>
          <w:rFonts w:ascii="DejaVu Serif" w:hAnsi="DejaVu Serif" w:eastAsia="DejaVu Serif" w:cs="DejaVu Serif"/>
          <w:b w:val="false"/>
          <w:bCs w:val="false"/>
          <w:color w:val="000000"/>
          <w:sz w:val="28"/>
          <w:lang w:val="es-AR" w:bidi="ar-SA"/>
        </w:rPr>
      </w:pPr>
      <w:r>
        <w:rPr>
          <w:rFonts w:eastAsia="DejaVu Serif" w:cs="DejaVu Serif" w:ascii="DejaVu Serif" w:hAnsi="DejaVu Serif"/>
          <w:b w:val="false"/>
          <w:bCs w:val="false"/>
          <w:color w:val="000000"/>
          <w:sz w:val="28"/>
          <w:lang w:val="es-AR" w:bidi="ar-S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Nimbus Sans">
    <w:charset w:val="01" w:characterSet="utf-8"/>
    <w:family w:val="roman"/>
    <w:pitch w:val="variable"/>
  </w:font>
  <w:font w:name="DejaVu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A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edefinito">
    <w:name w:val="Predefinito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A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LibreOffice/24.2.7.2$Linux_X86_64 LibreOffice_project/420$Build-2</Application>
  <AppVersion>15.0000</AppVersion>
  <Pages>1</Pages>
  <Words>275</Words>
  <Characters>1619</Characters>
  <CharactersWithSpaces>1891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2026-05-06T18:55:17Z</dcterms:created>
  <dc:creator/>
  <dc:description/>
  <dc:language>es-AR</dc:language>
  <cp:lastModifiedBy/>
  <dcterms:modified xsi:type="dcterms:W3CDTF">2026-05-06T19:22:43Z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